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line="252" w:lineRule="auto"/>
        <w:jc w:val="center"/>
      </w:pPr>
      <w:r>
        <w:rPr>
          <w:rFonts w:ascii="Times New Roman" w:hAnsi="Times New Roman" w:eastAsia="Times New Roman"/>
          <w:b/>
          <w:i w:val="0"/>
          <w:color w:val="000000"/>
          <w:sz w:val="32"/>
        </w:rPr>
        <w:t>Supplementary Appendix</w:t>
      </w:r>
    </w:p>
    <w:p>
      <w:pPr>
        <w:spacing w:after="280" w:line="252" w:lineRule="auto"/>
        <w:jc w:val="center"/>
      </w:pPr>
      <w:r>
        <w:rPr>
          <w:rFonts w:ascii="Times New Roman" w:hAnsi="Times New Roman" w:eastAsia="Times New Roman"/>
          <w:b/>
          <w:i w:val="0"/>
          <w:color w:val="000000"/>
          <w:sz w:val="24"/>
        </w:rPr>
        <w:t>Safety of Janus Kinase Inhibitors Compared With Vedolizumab or Ustekinumab in Older Adults With Ulcerative Colitis</w:t>
      </w:r>
    </w:p>
    <w:p>
      <w:pPr>
        <w:spacing w:after="120" w:line="252" w:lineRule="auto"/>
      </w:pPr>
      <w:r>
        <w:rPr>
          <w:rFonts w:ascii="Times New Roman" w:hAnsi="Times New Roman" w:eastAsia="Times New Roman"/>
          <w:b/>
          <w:i w:val="0"/>
          <w:color w:val="000000"/>
          <w:sz w:val="26"/>
        </w:rPr>
        <w:t>Supplementary Methods</w:t>
      </w:r>
    </w:p>
    <w:p>
      <w:pPr>
        <w:spacing w:after="120" w:line="252" w:lineRule="auto"/>
      </w:pPr>
      <w:r>
        <w:rPr>
          <w:rFonts w:ascii="Times New Roman" w:hAnsi="Times New Roman" w:eastAsia="Times New Roman"/>
          <w:b w:val="0"/>
          <w:i w:val="0"/>
          <w:color w:val="000000"/>
          <w:sz w:val="22"/>
        </w:rPr>
        <w:t>Adults aged 60 years or older with ulcerative colitis in the TriNetX US Collaborative Network were assigned to the JAK inhibitor group at the first qualifying record for tofacitinib or upadacitinib and to the comparator group at the first qualifying record for vedolizumab or ustekinumab. The index date was the qualifying treatment record. The primary analysis required no recorded advanced inflammatory bowel disease therapy during the 365 days before index. Patients with recent serious infection, HIV, prior solid organ transplant, or competing advanced therapy around index were excluded.</w:t>
      </w:r>
    </w:p>
    <w:p>
      <w:pPr>
        <w:spacing w:after="120" w:line="252" w:lineRule="auto"/>
      </w:pPr>
      <w:r>
        <w:rPr>
          <w:rFonts w:ascii="Times New Roman" w:hAnsi="Times New Roman" w:eastAsia="Times New Roman"/>
          <w:b w:val="0"/>
          <w:i w:val="0"/>
          <w:color w:val="000000"/>
          <w:sz w:val="22"/>
        </w:rPr>
        <w:t>Propensity scores were estimated and matched within TriNetX using 33 prespecified covariates. Covariates included demographics, inflammatory bowel disease phenotype terms, prior steroid and immunomodulator exposure, prior infections, cardiovascular and thrombotic comorbidities, metabolic and nutritional comorbidities, healthcare utilization, body mass index, albumin, hemoglobin, and creatinine. Balance was assessed using standardized mean differences, with values below 0.10 considered acceptable.</w:t>
      </w:r>
    </w:p>
    <w:p>
      <w:pPr>
        <w:spacing w:after="200" w:line="252" w:lineRule="auto"/>
      </w:pPr>
      <w:r>
        <w:rPr>
          <w:rFonts w:ascii="Times New Roman" w:hAnsi="Times New Roman" w:eastAsia="Times New Roman"/>
          <w:b w:val="0"/>
          <w:i w:val="0"/>
          <w:color w:val="000000"/>
          <w:sz w:val="22"/>
        </w:rPr>
        <w:t>Primary outcomes were assessed from days 1 through 365 after treatment initiation. Sensitivity analyses evaluated a no-washout design and cumulative two-year follow-up from days 1 through 730. Hazard ratios with 95% confidence intervals were estimated using Cox models. TriNetX-suppressed cells were not reverse engineered.</w:t>
      </w:r>
    </w:p>
    <w:p>
      <w:pPr>
        <w:spacing w:after="200" w:line="252" w:lineRule="auto"/>
      </w:pPr>
      <w:r>
        <w:rPr>
          <w:rFonts w:ascii="Times New Roman" w:hAnsi="Times New Roman" w:eastAsia="Times New Roman"/>
          <w:b w:val="0"/>
          <w:i/>
          <w:color w:val="000000"/>
          <w:sz w:val="20"/>
        </w:rPr>
        <w:t>Abbreviations: CI, confidence interval; EHR, electronic health record; HR, hazard ratio; IBD, inflammatory bowel disease; JAK, Janus kinase; MACE, major adverse cardiovascular events; SMD, standardized mean difference; UC, ulcerative colitis; VTE, venous thromboembolism.</w:t>
      </w:r>
    </w:p>
    <w:p>
      <w:pPr>
        <w:spacing w:after="80" w:line="252" w:lineRule="auto"/>
      </w:pPr>
      <w:r>
        <w:rPr>
          <w:rFonts w:ascii="Times New Roman" w:hAnsi="Times New Roman" w:eastAsia="Times New Roman"/>
          <w:b/>
          <w:i w:val="0"/>
          <w:color w:val="000000"/>
          <w:sz w:val="24"/>
        </w:rPr>
        <w:t>Supplementary Table S1. Cohort, exposure, and follow-up definitions</w:t>
      </w:r>
    </w:p>
    <w:tbl>
      <w:tblPr>
        <w:tblStyle w:val="TableGrid"/>
        <w:tblW w:type="auto" w:w="0"/>
        <w:jc w:val="center"/>
        <w:tblLayout w:type="autofit"/>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5184"/>
        <w:gridCol w:w="5184"/>
      </w:tblGrid>
      <w:tr>
        <w:tc>
          <w:tcPr>
            <w:tcW w:type="dxa" w:w="5184"/>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8"/>
              </w:rPr>
              <w:t>Domain</w:t>
            </w:r>
          </w:p>
        </w:tc>
        <w:tc>
          <w:tcPr>
            <w:tcW w:type="dxa" w:w="5184"/>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8"/>
              </w:rPr>
              <w:t>Definition</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Data source</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TriNetX US Collaborative Network de-identified electronic health record data.</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Population</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Adults aged 60 years or older with ulcerative colitis recorded before treatment initiation.</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Exposure</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First qualifying record for tofacitinib or upadacitinib after eligibility criteria were met.</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Comparator</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First qualifying record for vedolizumab or ustekinumab after eligibility criteria were met.</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Index date</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Date of the first qualifying exposure or comparator treatment record.</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Primary washout</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No recorded advanced inflammatory bowel disease therapy in the 365 days before index.</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Primary exclusions</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Recent serious infection, HIV, prior solid organ transplant, or competing advanced therapy around index.</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Follow-up</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Initiation-based follow-up from day 1 after index through the specified window; patients were not censored for later switching or discontinuation in exported analyses.</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No-washout sensitivity analysis</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Same age, disease, exposure, and comparator definitions, without the 365-day advanced-therapy washout.</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Two-year sensitivity analysis</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Same primary cohort and matching framework, with cumulative outcome ascertainment from days 1 through 730.</w:t>
            </w:r>
          </w:p>
        </w:tc>
      </w:tr>
    </w:tbl>
    <w:p>
      <w:pPr>
        <w:spacing w:after="80" w:line="252" w:lineRule="auto"/>
      </w:pPr>
      <w:r>
        <w:rPr>
          <w:rFonts w:ascii="Times New Roman" w:hAnsi="Times New Roman" w:eastAsia="Times New Roman"/>
          <w:b w:val="0"/>
          <w:i w:val="0"/>
          <w:color w:val="000000"/>
          <w:sz w:val="22"/>
        </w:rPr>
      </w:r>
    </w:p>
    <w:p>
      <w:r>
        <w:rPr>
          <w:rFonts w:ascii="Times New Roman" w:hAnsi="Times New Roman" w:eastAsia="Times New Roman"/>
          <w:color w:val="000000"/>
        </w:rPr>
        <w:br w:type="page"/>
      </w:r>
    </w:p>
    <w:p>
      <w:pPr>
        <w:spacing w:after="80" w:line="252" w:lineRule="auto"/>
      </w:pPr>
      <w:r>
        <w:rPr>
          <w:rFonts w:ascii="Times New Roman" w:hAnsi="Times New Roman" w:eastAsia="Times New Roman"/>
          <w:b/>
          <w:i w:val="0"/>
          <w:color w:val="000000"/>
          <w:sz w:val="24"/>
        </w:rPr>
        <w:t>Supplementary Table S2. Outcome definitions</w:t>
      </w:r>
    </w:p>
    <w:tbl>
      <w:tblPr>
        <w:tblStyle w:val="TableGrid"/>
        <w:tblW w:type="auto" w:w="0"/>
        <w:jc w:val="center"/>
        <w:tblLayout w:type="autofit"/>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456"/>
        <w:gridCol w:w="3456"/>
        <w:gridCol w:w="3456"/>
      </w:tblGrid>
      <w:tr>
        <w:tc>
          <w:tcPr>
            <w:tcW w:type="dxa" w:w="3456"/>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8"/>
              </w:rPr>
              <w:t>Outcome</w:t>
            </w:r>
          </w:p>
        </w:tc>
        <w:tc>
          <w:tcPr>
            <w:tcW w:type="dxa" w:w="3456"/>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8"/>
              </w:rPr>
              <w:t>Type</w:t>
            </w:r>
          </w:p>
        </w:tc>
        <w:tc>
          <w:tcPr>
            <w:tcW w:type="dxa" w:w="3456"/>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8"/>
              </w:rPr>
              <w:t>Definition</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Infection composite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Primary safety outcome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Composite of infection diagnosis concepts used in the TriNetX outcome panel.</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Herpes zoster</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Safety outcome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Herpes zoster diagnosis concepts; reported only when cell-size rules permitted and suppressed in the primary matched analysis.</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MACE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Primary safety outcome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Coded major adverse cardiovascular event diagnosis proxy.</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VTE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Primary safety outcome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Coded venous thromboembolism diagnosis proxy.</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Inpatient encounter</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Safety/utilization outcome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Recorded inpatient encounter after treatment initiation.</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IV steroid administration or colectomy</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Supportive disease-control outcome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Recorded intravenous steroid administration or colectomy/proctocolectomy.</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Cataract</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Negative control outcome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Cataract diagnosis outcome, used as a falsification check when reportable.</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Knee osteoarthritis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Negative control outcome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Knee osteoarthritis diagnosis outcome, used as a falsification check when reportable.</w:t>
            </w:r>
          </w:p>
        </w:tc>
      </w:tr>
    </w:tbl>
    <w:p>
      <w:pPr>
        <w:spacing w:after="80" w:line="252" w:lineRule="auto"/>
      </w:pPr>
      <w:r>
        <w:rPr>
          <w:rFonts w:ascii="Times New Roman" w:hAnsi="Times New Roman" w:eastAsia="Times New Roman"/>
          <w:b w:val="0"/>
          <w:i w:val="0"/>
          <w:color w:val="000000"/>
          <w:sz w:val="22"/>
        </w:rPr>
      </w:r>
    </w:p>
    <w:p>
      <w:pPr>
        <w:spacing w:after="80" w:line="252" w:lineRule="auto"/>
      </w:pPr>
      <w:r>
        <w:rPr>
          <w:rFonts w:ascii="Times New Roman" w:hAnsi="Times New Roman" w:eastAsia="Times New Roman"/>
          <w:b/>
          <w:i w:val="0"/>
          <w:color w:val="000000"/>
          <w:sz w:val="24"/>
        </w:rPr>
        <w:t>Supplementary Table S3. Matching and statistical notes</w:t>
      </w:r>
    </w:p>
    <w:tbl>
      <w:tblPr>
        <w:tblStyle w:val="TableGrid"/>
        <w:tblW w:type="auto" w:w="0"/>
        <w:jc w:val="center"/>
        <w:tblLayout w:type="autofit"/>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5184"/>
        <w:gridCol w:w="5184"/>
      </w:tblGrid>
      <w:tr>
        <w:tc>
          <w:tcPr>
            <w:tcW w:type="dxa" w:w="5184"/>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8"/>
              </w:rPr>
              <w:t>Item</w:t>
            </w:r>
          </w:p>
        </w:tc>
        <w:tc>
          <w:tcPr>
            <w:tcW w:type="dxa" w:w="5184"/>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8"/>
              </w:rPr>
              <w:t>Description</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Matching method</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TriNetX 1:1 propensity-score matching after cohort construction.</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Covariate set</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The same 33 covariates were used in the primary, no-washout, and two-year analyses.</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Covariate domains</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Demographics, inflammatory bowel disease phenotype, medications, prior infections, cardiometabolic and thrombotic comorbidities, healthcare utilization, body mass index, albumin, hemoglobin, and creatinine.</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Balance assessment</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Standardized mean differences were exported from TriNetX; post-match values below 0.10 were considered balanced.</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Missing data</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No external imputation was performed. Laboratory covariates were based on recorded electronic health record values and platform handling of recorded data.</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Effect estimate</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Cox hazard ratios with 95% confidence intervals were used as the primary time-to-event summaries.</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Proportional-hazards diagnostics</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Exported proportional-hazards test P values were reviewed; estimates with significant tests were interpreted as fixed-window descriptive summaries.</w:t>
            </w:r>
          </w:p>
        </w:tc>
      </w:tr>
      <w:tr>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Suppressed cells</w:t>
            </w:r>
          </w:p>
        </w:tc>
        <w:tc>
          <w:tcPr>
            <w:tcW w:type="dxa" w:w="518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7"/>
              </w:rPr>
              <w:t>TriNetX-suppressed cells were left suppressed and were not reverse engineered.</w:t>
            </w:r>
          </w:p>
        </w:tc>
      </w:tr>
    </w:tbl>
    <w:p>
      <w:pPr>
        <w:spacing w:after="80" w:line="252" w:lineRule="auto"/>
      </w:pPr>
      <w:r>
        <w:rPr>
          <w:rFonts w:ascii="Times New Roman" w:hAnsi="Times New Roman" w:eastAsia="Times New Roman"/>
          <w:b w:val="0"/>
          <w:i w:val="0"/>
          <w:color w:val="000000"/>
          <w:sz w:val="22"/>
        </w:rPr>
      </w:r>
    </w:p>
    <w:p>
      <w:r>
        <w:rPr>
          <w:rFonts w:ascii="Times New Roman" w:hAnsi="Times New Roman" w:eastAsia="Times New Roman"/>
          <w:color w:val="000000"/>
        </w:rPr>
        <w:br w:type="page"/>
      </w:r>
    </w:p>
    <w:p>
      <w:pPr>
        <w:spacing w:after="80" w:line="252" w:lineRule="auto"/>
      </w:pPr>
      <w:r>
        <w:rPr>
          <w:rFonts w:ascii="Times New Roman" w:hAnsi="Times New Roman" w:eastAsia="Times New Roman"/>
          <w:b/>
          <w:i w:val="0"/>
          <w:color w:val="000000"/>
          <w:sz w:val="24"/>
        </w:rPr>
        <w:t>Supplementary Table S4. Baseline balance after matching</w:t>
      </w:r>
    </w:p>
    <w:tbl>
      <w:tblPr>
        <w:tblStyle w:val="TableGrid"/>
        <w:tblW w:type="auto" w:w="0"/>
        <w:jc w:val="center"/>
        <w:tblLayout w:type="autofit"/>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074"/>
        <w:gridCol w:w="2074"/>
        <w:gridCol w:w="2074"/>
        <w:gridCol w:w="2074"/>
        <w:gridCol w:w="2074"/>
      </w:tblGrid>
      <w:tr>
        <w:tc>
          <w:tcPr>
            <w:tcW w:type="dxa" w:w="2074"/>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4"/>
              </w:rPr>
              <w:t>Covariate</w:t>
            </w:r>
          </w:p>
        </w:tc>
        <w:tc>
          <w:tcPr>
            <w:tcW w:type="dxa" w:w="2074"/>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4"/>
              </w:rPr>
              <w:t>Category</w:t>
            </w:r>
          </w:p>
        </w:tc>
        <w:tc>
          <w:tcPr>
            <w:tcW w:type="dxa" w:w="2074"/>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4"/>
              </w:rPr>
              <w:t>JAK after matching</w:t>
            </w:r>
          </w:p>
        </w:tc>
        <w:tc>
          <w:tcPr>
            <w:tcW w:type="dxa" w:w="2074"/>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4"/>
              </w:rPr>
              <w:t>Comparator after matching</w:t>
            </w:r>
          </w:p>
        </w:tc>
        <w:tc>
          <w:tcPr>
            <w:tcW w:type="dxa" w:w="2074"/>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4"/>
              </w:rPr>
              <w:t>SMD after</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Age at index</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Demographics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66.30 (7.50)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66.39 (8.05)</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0.011</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Male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Demographics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432 (49.3%)</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443 (50.6%)</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0.025</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Black or African American</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Demographics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52 (5.9%)</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42 (4.8%)</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0.051</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Hispanic or Latino</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Demographics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26 (3.0%)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30 (3.4%)</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0.026</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Crohn disease/regional enteritis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10 (1.1%)</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10 (1.1%)</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0.000</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Ulcerative colitis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790 (90.2%)</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780 (89.0%)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0.037</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Indeterminate colitis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18 (2.1%)</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14 (1.6%)</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0.034</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Glucocorticoids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Medication</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608 (69.4%)</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602 (68.7%)</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0.015</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Azathioprine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Medication</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68 (7.8%)</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70 (8.0%)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0.008</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Mercaptopurine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Medication</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53 (6.1%)</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54 (6.2%)</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0.005</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Methotrexate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Medication</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95 (10.8%)</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96 (11.0%)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0.004</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Enterocolitis due to Clostridium difficile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44 (5.0%)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32 (3.7%)</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0.067</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Pneumonia, unspecified organism</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59 (6.7%)</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58 (6.6%)</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0.005</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Herpes zoster</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35 (4.0%)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32 (3.7%)</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0.018</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Other chronic obstructive pulmonary disease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69 (7.9%)</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73 (8.3%)</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0.017</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Chronic kidney disease (CKD)</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61 (7.0%)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50 (5.7%)</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0.052</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Heart failure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49 (5.6%)</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38 (4.3%)</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0.058</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Chronic ischemic heart disease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132 (15.1%)</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121 (13.8%)</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0.036</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Cerebral infarction</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20 (2.3%)</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18 (2.1%)</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0.016</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Other venous embolism/thrombosis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39 (4.5%)</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34 (3.9%)</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0.029</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Lipid metabolism disorder/other hyperlipidemia</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405 (46.2%)</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396 (45.2%)</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0.021</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Type 2 diabetes mellitus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155 (17.7%)</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162 (18.5%)</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0.021</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Overweight and obesity</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179 (20.4%)</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175 (20.0%)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0.011</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Unspecified protein-calorie malnutrition</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14 (1.6%)</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10 (1.1%)</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0.039</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Nicotine dependence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69 (7.9%)</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76 (8.7%)</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0.029</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Alcohol related disorders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Diagnosis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33 (3.8%)</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30 (3.4%)</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0.018</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Prior inpatient encounter</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Visit</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331 (37.8%)</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291 (33.2%)</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0.096</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Prior emergency department services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Procedure</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228 (26.0%)</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212 (24.2%)</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0.042</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BMI</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Clinical/laboratory</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28.72 (6.34)</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28.49 (5.63)</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0.038</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Albumin, serum/plasma/blood</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Clinical/laboratory</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3.94 (0.56)</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3.92 (0.56)</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0.029</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Hemoglobin, blood</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Clinical/laboratory</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12.71 (2.01)</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12.89 (1.92)</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0.096</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Creatinine, serum/plasma/blood</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Clinical/laboratory</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1.04 (3.69)</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0.90 (0.31)</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0.054</w:t>
            </w:r>
          </w:p>
        </w:tc>
      </w:tr>
      <w:tr>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Asian</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Demographics</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21 (2.4%)</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17 (1.9%)</w:t>
            </w:r>
          </w:p>
        </w:tc>
        <w:tc>
          <w:tcPr>
            <w:tcW w:type="dxa" w:w="2074"/>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4"/>
              </w:rPr>
              <w:t>0.031</w:t>
            </w:r>
          </w:p>
        </w:tc>
      </w:tr>
    </w:tbl>
    <w:p>
      <w:pPr>
        <w:spacing w:after="160" w:line="252" w:lineRule="auto"/>
      </w:pPr>
      <w:r>
        <w:rPr>
          <w:rFonts w:ascii="Times New Roman" w:hAnsi="Times New Roman" w:eastAsia="Times New Roman"/>
          <w:b w:val="0"/>
          <w:i/>
          <w:color w:val="000000"/>
          <w:sz w:val="18"/>
        </w:rPr>
        <w:t>Values are shown as n (%) or mean (SD). JAK = Janus kinase; SMD = standardized mean difference.</w:t>
      </w:r>
    </w:p>
    <w:p>
      <w:r>
        <w:rPr>
          <w:rFonts w:ascii="Times New Roman" w:hAnsi="Times New Roman" w:eastAsia="Times New Roman"/>
          <w:color w:val="000000"/>
        </w:rPr>
        <w:br w:type="page"/>
      </w:r>
    </w:p>
    <w:p>
      <w:pPr>
        <w:spacing w:after="80" w:line="252" w:lineRule="auto"/>
      </w:pPr>
      <w:r>
        <w:rPr>
          <w:rFonts w:ascii="Times New Roman" w:hAnsi="Times New Roman" w:eastAsia="Times New Roman"/>
          <w:b/>
          <w:i w:val="0"/>
          <w:color w:val="000000"/>
          <w:sz w:val="24"/>
        </w:rPr>
        <w:t>Supplementary Table S5. Negative-control outcomes</w:t>
      </w:r>
    </w:p>
    <w:tbl>
      <w:tblPr>
        <w:tblStyle w:val="TableGrid"/>
        <w:tblW w:type="auto" w:w="0"/>
        <w:jc w:val="center"/>
        <w:tblLayout w:type="autofit"/>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728"/>
        <w:gridCol w:w="1728"/>
        <w:gridCol w:w="1728"/>
        <w:gridCol w:w="1728"/>
        <w:gridCol w:w="1728"/>
        <w:gridCol w:w="1728"/>
      </w:tblGrid>
      <w:tr>
        <w:tc>
          <w:tcPr>
            <w:tcW w:type="dxa" w:w="1728"/>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7"/>
              </w:rPr>
              <w:t>Analysis</w:t>
            </w:r>
          </w:p>
        </w:tc>
        <w:tc>
          <w:tcPr>
            <w:tcW w:type="dxa" w:w="1728"/>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7"/>
              </w:rPr>
              <w:t>Outcome</w:t>
            </w:r>
          </w:p>
        </w:tc>
        <w:tc>
          <w:tcPr>
            <w:tcW w:type="dxa" w:w="1728"/>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7"/>
              </w:rPr>
              <w:t>JAK n/N</w:t>
            </w:r>
          </w:p>
        </w:tc>
        <w:tc>
          <w:tcPr>
            <w:tcW w:type="dxa" w:w="1728"/>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7"/>
              </w:rPr>
              <w:t>Comparator n/N</w:t>
            </w:r>
          </w:p>
        </w:tc>
        <w:tc>
          <w:tcPr>
            <w:tcW w:type="dxa" w:w="1728"/>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7"/>
              </w:rPr>
              <w:t>HR (95% CI)</w:t>
            </w:r>
          </w:p>
        </w:tc>
        <w:tc>
          <w:tcPr>
            <w:tcW w:type="dxa" w:w="1728"/>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7"/>
              </w:rPr>
              <w:t>P value</w:t>
            </w:r>
          </w:p>
        </w:tc>
      </w:tr>
      <w:tr>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Primary</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Cataract</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Suppressed</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Suppressed</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Suppressed</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r>
          </w:p>
        </w:tc>
      </w:tr>
      <w:tr>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Primary</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Knee osteoarthritis</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45/876</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38/876</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1.32 (0.86-2.03)</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0.209</w:t>
            </w:r>
          </w:p>
        </w:tc>
      </w:tr>
      <w:tr>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Days 1-730</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Cataract</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33/876</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38/876</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0.98 (0.62-1.57)</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0.938</w:t>
            </w:r>
          </w:p>
        </w:tc>
      </w:tr>
      <w:tr>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Days 1-730</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Knee osteoarthritis</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64/876</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58/876</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1.27 (0.89-1.81)</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0.193</w:t>
            </w:r>
          </w:p>
        </w:tc>
      </w:tr>
      <w:tr>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No washout</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Cataract</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38/1329</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51/1329</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0.79 (0.52-1.20)</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0.264</w:t>
            </w:r>
          </w:p>
        </w:tc>
      </w:tr>
      <w:tr>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No washout</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Knee osteoarthritis</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81/1329</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70/1329</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1.24 (0.90-1.71)</w:t>
            </w:r>
          </w:p>
        </w:tc>
        <w:tc>
          <w:tcPr>
            <w:tcW w:type="dxa" w:w="1728"/>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6"/>
              </w:rPr>
              <w:t>0.186</w:t>
            </w:r>
          </w:p>
        </w:tc>
      </w:tr>
    </w:tbl>
    <w:p>
      <w:pPr>
        <w:spacing w:after="160" w:line="252" w:lineRule="auto"/>
      </w:pPr>
      <w:r>
        <w:rPr>
          <w:rFonts w:ascii="Times New Roman" w:hAnsi="Times New Roman" w:eastAsia="Times New Roman"/>
          <w:b w:val="0"/>
          <w:i/>
          <w:color w:val="000000"/>
          <w:sz w:val="18"/>
        </w:rPr>
        <w:t>CI = confidence interval; HR = hazard ratio; JAK = Janus kinase.</w:t>
      </w:r>
    </w:p>
    <w:p>
      <w:r>
        <w:rPr>
          <w:rFonts w:ascii="Times New Roman" w:hAnsi="Times New Roman" w:eastAsia="Times New Roman"/>
          <w:color w:val="000000"/>
        </w:rPr>
        <w:br w:type="page"/>
      </w:r>
    </w:p>
    <w:p>
      <w:pPr>
        <w:spacing w:after="80" w:line="252" w:lineRule="auto"/>
      </w:pPr>
      <w:r>
        <w:rPr>
          <w:rFonts w:ascii="Times New Roman" w:hAnsi="Times New Roman" w:eastAsia="Times New Roman"/>
          <w:b/>
          <w:i w:val="0"/>
          <w:color w:val="000000"/>
          <w:sz w:val="24"/>
        </w:rPr>
        <w:t>Supplementary Table S6. STROBE checklist</w:t>
      </w:r>
    </w:p>
    <w:tbl>
      <w:tblPr>
        <w:tblStyle w:val="TableGrid"/>
        <w:tblW w:type="auto" w:w="0"/>
        <w:jc w:val="center"/>
        <w:tblLayout w:type="autofit"/>
        <w:tblLook w:firstColumn="1" w:firstRow="1" w:lastColumn="0" w:lastRow="0" w:noHBand="0" w:noVBand="1" w:val="04A0"/>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456"/>
        <w:gridCol w:w="3456"/>
        <w:gridCol w:w="3456"/>
      </w:tblGrid>
      <w:tr>
        <w:tc>
          <w:tcPr>
            <w:tcW w:type="dxa" w:w="3456"/>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6"/>
              </w:rPr>
              <w:t>STROBE section</w:t>
            </w:r>
          </w:p>
        </w:tc>
        <w:tc>
          <w:tcPr>
            <w:tcW w:type="dxa" w:w="3456"/>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6"/>
              </w:rPr>
              <w:t>Item</w:t>
            </w:r>
          </w:p>
        </w:tc>
        <w:tc>
          <w:tcPr>
            <w:tcW w:type="dxa" w:w="3456"/>
            <w:vAlign w:val="center"/>
            <w:tcMar>
              <w:top w:w="60" w:type="dxa"/>
              <w:start w:w="60" w:type="dxa"/>
              <w:bottom w:w="60" w:type="dxa"/>
              <w:end w:w="60" w:type="dxa"/>
            </w:tcMar>
            <w:shd w:fill="EDEDED"/>
          </w:tcPr>
          <w:p>
            <w:pPr>
              <w:spacing w:after="0" w:line="240" w:lineRule="auto"/>
            </w:pPr>
            <w:r>
              <w:rPr>
                <w:rFonts w:ascii="Times New Roman" w:hAnsi="Times New Roman" w:eastAsia="Times New Roman"/>
                <w:color w:val="000000"/>
              </w:rPr>
            </w:r>
            <w:r>
              <w:rPr>
                <w:rFonts w:ascii="Times New Roman" w:hAnsi="Times New Roman" w:eastAsia="Times New Roman"/>
                <w:b/>
                <w:i w:val="0"/>
                <w:color w:val="000000"/>
                <w:sz w:val="16"/>
              </w:rPr>
              <w:t>Location/description</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Title/abstract</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Title and abstract identify a retrospective cohort study using TriNetX.</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Background/rationale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2</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Introduction explains the clinical concern around JAK inhibitors in older ulcerative colitis.</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Objectives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3</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Objective states the comparison of JAK inhibitors with vedolizumab or ustekinumab in older ulcerative colitis.</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Study design</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4</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Methods describe active-comparator cohort design and propensity-score matching.</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Setting</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5</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Methods identify TriNetX US Collaborative Network.</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Participants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6</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Eligibility, exposure groups, washout, and exclusions are described.</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Variables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7</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Exposure, primary safety outcomes, supportive disease control outcome, and negative controls are defined.</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Data sources/measurement</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8</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EHR-derived TriNetX diagnoses, medications, encounters, procedures, and laboratory values are stated.</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Bias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9</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Active comparator, washout, matching, sensitivity analyses, and negative controls are reported.</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Study size</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10</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Initial and matched cohort sizes are reported.</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Quantitative variables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11</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Age and laboratory values are matched as TriNetX continuous covariates; categorical covariates are listed.</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Statistical methods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12</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Cox hazard ratios, 95% confidence intervals, log-rank P values, and PH checks are described.</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Participants/results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13</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Matched sample flow is shown in Figure 1.</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Descriptive data</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14</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Baseline balance is reported in Table 1, Supplementary Table S4, and Supplementary Figure 2.</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Outcome data</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15</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Primary and supportive disease control outcomes are reported in Table 2 and Figure 2; sensitivity analyses in Table 3 and Figure 3; negative controls in Supplementary Table S5 and Supplementary Figure 1; absolute risks in Supplementary Figure 3; Kaplan-Meier cumulative event curves in Supplementary Figure 4.</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Main results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16</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hazard ratios and confidence intervals are reported for all primary endpoints.</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Other analyses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17</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No-washout, two-year, and negative control analyses are reported.</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Key results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18</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Discussion summarizes the main safety finding.</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Limitations</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19</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Discussion lists residual confounding, coding, exposure, pooling, and suppression limitations.</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Interpretation</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20</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Discussion avoids causal overstatement and places findings in the literature.</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Generalisability</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21</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Discussion limits interpretation to similar older ulcerative colitis patients represented in EHR data.</w:t>
            </w:r>
          </w:p>
        </w:tc>
      </w:tr>
      <w:tr>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Funding</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22</w:t>
            </w:r>
          </w:p>
        </w:tc>
        <w:tc>
          <w:tcPr>
            <w:tcW w:type="dxa" w:w="3456"/>
            <w:vAlign w:val="center"/>
            <w:tcMar>
              <w:top w:w="60" w:type="dxa"/>
              <w:start w:w="60" w:type="dxa"/>
              <w:bottom w:w="60" w:type="dxa"/>
              <w:end w:w="60" w:type="dxa"/>
            </w:tcMar>
          </w:tcPr>
          <w:p>
            <w:pPr>
              <w:spacing w:after="0" w:line="240" w:lineRule="auto"/>
            </w:pPr>
            <w:r>
              <w:rPr>
                <w:rFonts w:ascii="Times New Roman" w:hAnsi="Times New Roman" w:eastAsia="Times New Roman"/>
                <w:color w:val="000000"/>
              </w:rPr>
            </w:r>
            <w:r>
              <w:rPr>
                <w:rFonts w:ascii="Times New Roman" w:hAnsi="Times New Roman" w:eastAsia="Times New Roman"/>
                <w:b w:val="0"/>
                <w:i w:val="0"/>
                <w:color w:val="000000"/>
                <w:sz w:val="15"/>
              </w:rPr>
              <w:t>No external funding is stated.</w:t>
            </w:r>
          </w:p>
        </w:tc>
      </w:tr>
    </w:tbl>
    <w:p>
      <w:r>
        <w:rPr>
          <w:rFonts w:ascii="Times New Roman" w:hAnsi="Times New Roman" w:eastAsia="Times New Roman"/>
          <w:color w:val="000000"/>
        </w:rPr>
        <w:br w:type="page"/>
      </w:r>
    </w:p>
    <w:p>
      <w:pPr>
        <w:spacing w:after="120" w:line="252" w:lineRule="auto"/>
      </w:pPr>
      <w:r>
        <w:rPr>
          <w:rFonts w:ascii="Times New Roman" w:hAnsi="Times New Roman" w:eastAsia="Times New Roman"/>
          <w:b/>
          <w:i w:val="0"/>
          <w:color w:val="000000"/>
          <w:sz w:val="26"/>
        </w:rPr>
        <w:t>Supplementary Figures</w:t>
      </w:r>
    </w:p>
    <w:p>
      <w:pPr>
        <w:spacing w:after="80"/>
        <w:jc w:val="center"/>
      </w:pPr>
      <w:r>
        <w:rPr>
          <w:rFonts w:ascii="Times New Roman" w:hAnsi="Times New Roman" w:eastAsia="Times New Roman"/>
          <w:color w:val="000000"/>
        </w:rPr>
        <w:drawing>
          <wp:inline xmlns:a="http://schemas.openxmlformats.org/drawingml/2006/main" xmlns:pic="http://schemas.openxmlformats.org/drawingml/2006/picture">
            <wp:extent cx="6126480" cy="4261899"/>
            <wp:docPr id="1" name="Picture 1"/>
            <wp:cNvGraphicFramePr>
              <a:graphicFrameLocks noChangeAspect="1"/>
            </wp:cNvGraphicFramePr>
            <a:graphic>
              <a:graphicData uri="http://schemas.openxmlformats.org/drawingml/2006/picture">
                <pic:pic>
                  <pic:nvPicPr>
                    <pic:cNvPr id="0" name="supplementary_figure_1_grayscale.png"/>
                    <pic:cNvPicPr/>
                  </pic:nvPicPr>
                  <pic:blipFill>
                    <a:blip r:embed="rId9"/>
                    <a:stretch>
                      <a:fillRect/>
                    </a:stretch>
                  </pic:blipFill>
                  <pic:spPr>
                    <a:xfrm>
                      <a:off x="0" y="0"/>
                      <a:ext cx="6126480" cy="4261899"/>
                    </a:xfrm>
                    <a:prstGeom prst="rect"/>
                  </pic:spPr>
                </pic:pic>
              </a:graphicData>
            </a:graphic>
          </wp:inline>
        </w:drawing>
      </w:r>
    </w:p>
    <w:p>
      <w:pPr>
        <w:spacing w:after="120" w:line="252" w:lineRule="auto"/>
        <w:jc w:val="center"/>
      </w:pPr>
      <w:r>
        <w:rPr>
          <w:rFonts w:ascii="Times New Roman" w:hAnsi="Times New Roman" w:eastAsia="Times New Roman"/>
          <w:b w:val="0"/>
          <w:i/>
          <w:color w:val="000000"/>
          <w:sz w:val="19"/>
        </w:rPr>
        <w:t>Supplementary Figure 1. Negative-control outcomes. Reportable negative-control outcomes across the primary, cumulative two-year, and no-washout analyses.</w:t>
      </w:r>
    </w:p>
    <w:p>
      <w:r>
        <w:rPr>
          <w:rFonts w:ascii="Times New Roman" w:hAnsi="Times New Roman" w:eastAsia="Times New Roman"/>
          <w:color w:val="000000"/>
        </w:rPr>
        <w:br w:type="page"/>
      </w:r>
    </w:p>
    <w:p>
      <w:pPr>
        <w:spacing w:after="80"/>
        <w:jc w:val="center"/>
      </w:pPr>
      <w:r>
        <w:rPr>
          <w:rFonts w:ascii="Times New Roman" w:hAnsi="Times New Roman" w:eastAsia="Times New Roman"/>
          <w:color w:val="000000"/>
        </w:rPr>
        <w:drawing>
          <wp:inline xmlns:a="http://schemas.openxmlformats.org/drawingml/2006/main" xmlns:pic="http://schemas.openxmlformats.org/drawingml/2006/picture">
            <wp:extent cx="5303520" cy="6389084"/>
            <wp:docPr id="2" name="Picture 2"/>
            <wp:cNvGraphicFramePr>
              <a:graphicFrameLocks noChangeAspect="1"/>
            </wp:cNvGraphicFramePr>
            <a:graphic>
              <a:graphicData uri="http://schemas.openxmlformats.org/drawingml/2006/picture">
                <pic:pic>
                  <pic:nvPicPr>
                    <pic:cNvPr id="0" name="supplementary_figure_2_grayscale.png"/>
                    <pic:cNvPicPr/>
                  </pic:nvPicPr>
                  <pic:blipFill>
                    <a:blip r:embed="rId10"/>
                    <a:stretch>
                      <a:fillRect/>
                    </a:stretch>
                  </pic:blipFill>
                  <pic:spPr>
                    <a:xfrm>
                      <a:off x="0" y="0"/>
                      <a:ext cx="5303520" cy="6389084"/>
                    </a:xfrm>
                    <a:prstGeom prst="rect"/>
                  </pic:spPr>
                </pic:pic>
              </a:graphicData>
            </a:graphic>
          </wp:inline>
        </w:drawing>
      </w:r>
    </w:p>
    <w:p>
      <w:pPr>
        <w:spacing w:after="120" w:line="252" w:lineRule="auto"/>
        <w:jc w:val="center"/>
      </w:pPr>
      <w:r>
        <w:rPr>
          <w:rFonts w:ascii="Times New Roman" w:hAnsi="Times New Roman" w:eastAsia="Times New Roman"/>
          <w:b w:val="0"/>
          <w:i/>
          <w:color w:val="000000"/>
          <w:sz w:val="19"/>
        </w:rPr>
        <w:t>Supplementary Figure 2. Covariate balance. Standardized mean differences before and after propensity-score matching for the primary matched cohort.</w:t>
      </w:r>
    </w:p>
    <w:p>
      <w:r>
        <w:rPr>
          <w:rFonts w:ascii="Times New Roman" w:hAnsi="Times New Roman" w:eastAsia="Times New Roman"/>
          <w:color w:val="000000"/>
        </w:rPr>
        <w:br w:type="page"/>
      </w:r>
    </w:p>
    <w:p>
      <w:pPr>
        <w:spacing w:after="80"/>
        <w:jc w:val="center"/>
      </w:pPr>
      <w:r>
        <w:rPr>
          <w:rFonts w:ascii="Times New Roman" w:hAnsi="Times New Roman" w:eastAsia="Times New Roman"/>
          <w:color w:val="000000"/>
        </w:rPr>
        <w:drawing>
          <wp:inline xmlns:a="http://schemas.openxmlformats.org/drawingml/2006/main" xmlns:pic="http://schemas.openxmlformats.org/drawingml/2006/picture">
            <wp:extent cx="6126480" cy="3563361"/>
            <wp:docPr id="3" name="Picture 3"/>
            <wp:cNvGraphicFramePr>
              <a:graphicFrameLocks noChangeAspect="1"/>
            </wp:cNvGraphicFramePr>
            <a:graphic>
              <a:graphicData uri="http://schemas.openxmlformats.org/drawingml/2006/picture">
                <pic:pic>
                  <pic:nvPicPr>
                    <pic:cNvPr id="0" name="supplementary_figure_3_grayscale.png"/>
                    <pic:cNvPicPr/>
                  </pic:nvPicPr>
                  <pic:blipFill>
                    <a:blip r:embed="rId11"/>
                    <a:stretch>
                      <a:fillRect/>
                    </a:stretch>
                  </pic:blipFill>
                  <pic:spPr>
                    <a:xfrm>
                      <a:off x="0" y="0"/>
                      <a:ext cx="6126480" cy="3563361"/>
                    </a:xfrm>
                    <a:prstGeom prst="rect"/>
                  </pic:spPr>
                </pic:pic>
              </a:graphicData>
            </a:graphic>
          </wp:inline>
        </w:drawing>
      </w:r>
    </w:p>
    <w:p>
      <w:pPr>
        <w:spacing w:after="120" w:line="252" w:lineRule="auto"/>
        <w:jc w:val="center"/>
      </w:pPr>
      <w:r>
        <w:rPr>
          <w:rFonts w:ascii="Times New Roman" w:hAnsi="Times New Roman" w:eastAsia="Times New Roman"/>
          <w:b w:val="0"/>
          <w:i/>
          <w:color w:val="000000"/>
          <w:sz w:val="19"/>
        </w:rPr>
        <w:t>Supplementary Figure 3. Absolute one-year risks. One-year cumulative risks for primary safety outcomes by treatment group. JAK = Janus kinase.</w:t>
      </w:r>
    </w:p>
    <w:p>
      <w:r>
        <w:br w:type="page"/>
      </w:r>
    </w:p>
    <w:p>
      <w:pPr>
        <w:keepNext/>
        <w:spacing w:after="80"/>
        <w:jc w:val="center"/>
      </w:pPr>
      <w:r>
        <w:rPr>
          <w:rFonts w:ascii="Times New Roman" w:hAnsi="Times New Roman"/>
        </w:rPr>
        <w:drawing>
          <wp:inline xmlns:a="http://schemas.openxmlformats.org/drawingml/2006/main" xmlns:pic="http://schemas.openxmlformats.org/drawingml/2006/picture">
            <wp:extent cx="6126480" cy="4765040"/>
            <wp:docPr id="4" name="Supplementary Figure 4" title="Primary one-year Kaplan-Meier curves" descr="Four grayscale Kaplan-Meier cumulative-event panels comparing solid dark-gray JAK inhibitor curves with dashed light-gray vedolizumab or ustekinumab curves for infection, MACE, VTE, and inpatient encounter through 365 days."/>
            <wp:cNvGraphicFramePr>
              <a:graphicFrameLocks noChangeAspect="1"/>
            </wp:cNvGraphicFramePr>
            <a:graphic>
              <a:graphicData uri="http://schemas.openxmlformats.org/drawingml/2006/picture">
                <pic:pic>
                  <pic:nvPicPr>
                    <pic:cNvPr id="0" name="supplementary_figure4_primary_one_year_kaplan_meier_grayscale.png"/>
                    <pic:cNvPicPr/>
                  </pic:nvPicPr>
                  <pic:blipFill>
                    <a:blip r:embed="rId12"/>
                    <a:stretch>
                      <a:fillRect/>
                    </a:stretch>
                  </pic:blipFill>
                  <pic:spPr>
                    <a:xfrm>
                      <a:off x="0" y="0"/>
                      <a:ext cx="6126480" cy="4765040"/>
                    </a:xfrm>
                    <a:prstGeom prst="rect"/>
                  </pic:spPr>
                </pic:pic>
              </a:graphicData>
            </a:graphic>
          </wp:inline>
        </w:drawing>
      </w:r>
    </w:p>
    <w:p>
      <w:pPr>
        <w:keepLines/>
        <w:spacing w:after="120" w:line="252" w:lineRule="auto"/>
        <w:jc w:val="center"/>
      </w:pPr>
      <w:r>
        <w:rPr>
          <w:rFonts w:ascii="Times New Roman" w:hAnsi="Times New Roman" w:eastAsia="Times New Roman"/>
          <w:b w:val="0"/>
          <w:i/>
          <w:sz w:val="19"/>
        </w:rPr>
        <w:t>Supplementary Figure 4. Kaplan-Meier cumulative event curves. One-year cumulative event probability (1 - S(t)) for infection, major adverse cardiovascular events, venous thromboembolism, and inpatient encounter in the primary matched cohort. Solid dark-gray lines represent JAK inhibitor; dashed light-gray lines represent vedolizumab or ustekinumab. Shaded bands show 95% confidence intervals. JAK = Janus kinase.</w:t>
      </w:r>
    </w:p>
    <w:sectPr w:rsidR="00FC693F" w:rsidRPr="0006063C" w:rsidSect="00034616">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